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D3" w:rsidRPr="00610DD3" w:rsidRDefault="00610DD3" w:rsidP="00610DD3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</w:rPr>
      </w:pPr>
      <w:r>
        <w:rPr>
          <w:rFonts w:ascii="Garamond" w:eastAsia="Times New Roman" w:hAnsi="Garamond" w:cs="Arial"/>
          <w:b/>
          <w:noProof/>
          <w:sz w:val="20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НИЗИНСКОЕ СЕЛЬСКОЕ ПОСЕЛЕНИЕ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 xml:space="preserve">ЛОМОНОСОВСКИЙ МУНИЦИПАЛЬНЫЙ РАЙОН 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D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0DD3" w:rsidRPr="00610DD3" w:rsidRDefault="00610DD3" w:rsidP="0061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1ED" w:rsidRDefault="00610DD3" w:rsidP="00610DD3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4B1E">
        <w:rPr>
          <w:rFonts w:ascii="Times New Roman" w:eastAsia="Times New Roman" w:hAnsi="Times New Roman" w:cs="Times New Roman"/>
          <w:sz w:val="24"/>
          <w:szCs w:val="24"/>
        </w:rPr>
        <w:t>29.11</w:t>
      </w:r>
      <w:r w:rsidRPr="00610DD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Pr="00610DD3">
        <w:rPr>
          <w:rFonts w:ascii="Times New Roman CYR" w:eastAsia="Times New Roman" w:hAnsi="Times New Roman CYR" w:cs="Times New Roman CYR"/>
          <w:sz w:val="24"/>
          <w:szCs w:val="24"/>
        </w:rPr>
        <w:t xml:space="preserve">г.                                                                                                          </w:t>
      </w:r>
      <w:r w:rsidR="00DA4B1E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</w:t>
      </w:r>
      <w:r w:rsidRPr="00610DD3">
        <w:rPr>
          <w:rFonts w:ascii="Times New Roman CYR" w:eastAsia="Times New Roman" w:hAnsi="Times New Roman CYR" w:cs="Times New Roman CYR"/>
          <w:sz w:val="24"/>
          <w:szCs w:val="24"/>
        </w:rPr>
        <w:t xml:space="preserve">  № </w:t>
      </w:r>
      <w:r w:rsidR="00DA4B1E">
        <w:rPr>
          <w:rFonts w:ascii="Times New Roman CYR" w:eastAsia="Times New Roman" w:hAnsi="Times New Roman CYR" w:cs="Times New Roman CYR"/>
          <w:sz w:val="24"/>
          <w:szCs w:val="24"/>
        </w:rPr>
        <w:t>364</w:t>
      </w:r>
    </w:p>
    <w:p w:rsidR="00610DD3" w:rsidRPr="00610DD3" w:rsidRDefault="00610DD3" w:rsidP="00610DD3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5E54" w:rsidRPr="00485E54" w:rsidRDefault="00485E54" w:rsidP="00485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Регламента «Организация временного </w:t>
      </w:r>
      <w:r w:rsidRPr="00485E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электроснабжения потребителей </w:t>
      </w:r>
    </w:p>
    <w:p w:rsidR="001721ED" w:rsidRDefault="00485E54" w:rsidP="00485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условиях массовых нарушений  электроснабжения на территории  </w:t>
      </w:r>
      <w:r w:rsidRPr="00485E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населенных пунктов</w:t>
      </w:r>
      <w:r w:rsidR="001721ED" w:rsidRPr="00610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Низинское сельское поселение муниципального образования Ломоносовский муниципальный район </w:t>
      </w:r>
      <w:r w:rsidR="001721ED" w:rsidRPr="00610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10DD3" w:rsidRPr="00610DD3" w:rsidRDefault="00610DD3" w:rsidP="0061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1F80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485E54" w:rsidRPr="00485E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30.12.2003 г. № 794 «О единой государственной системе предупреждения и ликвидации чрезвычайных ситуаций», Постановлением Правительства Ленинградской области от 19.06.2008 г. № 177 «Об утверждении Правил подготовки и проведения отопительного сезона в Ленинградской области», на основании Типового регламента организации и</w:t>
      </w:r>
      <w:proofErr w:type="gramEnd"/>
      <w:r w:rsidR="00485E54" w:rsidRPr="0048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5E54" w:rsidRPr="0048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9, в целях организации устранения аварий на объектах электросетевого комплекса на территории населенных пунктов </w:t>
      </w:r>
      <w:r w:rsidR="00610DD3" w:rsidRPr="00610DD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руководствуясь Уставом </w:t>
      </w:r>
      <w:r w:rsidR="00610DD3" w:rsidRPr="00610DD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</w:t>
      </w:r>
      <w:proofErr w:type="gramEnd"/>
      <w:r w:rsidR="00610DD3" w:rsidRPr="0061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местная 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610DD3">
        <w:rPr>
          <w:rFonts w:ascii="Times New Roman" w:hAnsi="Times New Roman" w:cs="Times New Roman"/>
          <w:color w:val="000000"/>
          <w:sz w:val="24"/>
          <w:szCs w:val="24"/>
        </w:rPr>
        <w:t xml:space="preserve">МО Низинское сельское поселение </w:t>
      </w:r>
    </w:p>
    <w:p w:rsidR="001721ED" w:rsidRPr="001721ED" w:rsidRDefault="005D1F80" w:rsidP="00610D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5E54" w:rsidRPr="00171AE1" w:rsidRDefault="001721ED" w:rsidP="00171AE1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485E54" w:rsidRPr="0048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 «Организация временного электроснабжения потребителей в условиях массовых нарушений электроснабжения на территории населенных пунктов </w:t>
      </w:r>
      <w:r w:rsidR="00485E54" w:rsidRPr="00485E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 </w:t>
      </w:r>
      <w:r w:rsidR="00485E54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 сельское поселение</w:t>
      </w:r>
      <w:r w:rsidR="00485E54" w:rsidRPr="0048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приложению</w:t>
      </w:r>
      <w:r w:rsidR="00BD0937"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D0937"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</w:t>
      </w:r>
      <w:r w:rsidR="00171A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937" w:rsidRPr="00BD0937" w:rsidRDefault="00BD0937" w:rsidP="00BD093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BD0937" w:rsidRPr="00BD0937" w:rsidRDefault="00BD0937" w:rsidP="00BD093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в день официального опубликования (обнародования).</w:t>
      </w:r>
    </w:p>
    <w:p w:rsidR="00BD0937" w:rsidRPr="00BD0937" w:rsidRDefault="00BD0937" w:rsidP="00BD093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BD0937" w:rsidRPr="00BD0937" w:rsidRDefault="00BD0937" w:rsidP="00BD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местной администрации </w:t>
      </w:r>
    </w:p>
    <w:p w:rsidR="001721ED" w:rsidRPr="001721ED" w:rsidRDefault="00BD0937" w:rsidP="00BD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Низинское сельское поселение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 Клухина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F80" w:rsidRDefault="005D1F80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B1E" w:rsidRDefault="00DA4B1E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B1E" w:rsidRPr="00BD0937" w:rsidRDefault="00DA4B1E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21ED" w:rsidRPr="00BD0937" w:rsidRDefault="001721ED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="00485E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 w:rsidRP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721ED" w:rsidRPr="00BD0937" w:rsidRDefault="001721ED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</w:t>
      </w:r>
      <w:r w:rsid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местной </w:t>
      </w:r>
      <w:r w:rsidRP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</w:p>
    <w:p w:rsidR="001721ED" w:rsidRDefault="00BD0937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 Низинское сельское поселение </w:t>
      </w:r>
    </w:p>
    <w:p w:rsidR="00BD0937" w:rsidRDefault="00BD0937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DA4B1E">
        <w:rPr>
          <w:rFonts w:ascii="Times New Roman" w:eastAsia="Times New Roman" w:hAnsi="Times New Roman" w:cs="Times New Roman"/>
          <w:color w:val="000000"/>
          <w:sz w:val="20"/>
          <w:szCs w:val="20"/>
        </w:rPr>
        <w:t>29.11.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 г. №</w:t>
      </w:r>
      <w:r w:rsidR="00DA4B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364</w:t>
      </w:r>
    </w:p>
    <w:p w:rsidR="00F9076A" w:rsidRDefault="00F9076A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076A" w:rsidRPr="00BD0937" w:rsidRDefault="00F9076A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E54" w:rsidRPr="00485E54" w:rsidRDefault="00485E54" w:rsidP="00485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Регламент</w:t>
      </w:r>
    </w:p>
    <w:p w:rsidR="00485E54" w:rsidRPr="00485E54" w:rsidRDefault="00485E54" w:rsidP="00485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«Организации временного электроснабжения потребителей в условиях массовых нарушений электроснабжения на территории населенных пунктов </w:t>
      </w:r>
    </w:p>
    <w:p w:rsidR="00485E54" w:rsidRPr="00485E54" w:rsidRDefault="00485E54" w:rsidP="00485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Низинское сельское поселение </w:t>
      </w:r>
    </w:p>
    <w:p w:rsidR="00485E54" w:rsidRPr="00485E54" w:rsidRDefault="00485E54" w:rsidP="00485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bookmark0"/>
    </w:p>
    <w:p w:rsidR="00485E54" w:rsidRPr="00485E54" w:rsidRDefault="00485E54" w:rsidP="00485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85E54" w:rsidRPr="00485E54" w:rsidRDefault="00485E54" w:rsidP="00485E54">
      <w:pPr>
        <w:keepNext/>
        <w:keepLines/>
        <w:widowControl w:val="0"/>
        <w:tabs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bookmarkStart w:id="1" w:name="bookmark1"/>
      <w:bookmarkEnd w:id="0"/>
      <w:r w:rsidRPr="00485E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1. Общие положения</w:t>
      </w:r>
      <w:bookmarkEnd w:id="1"/>
    </w:p>
    <w:p w:rsidR="00485E54" w:rsidRPr="00485E54" w:rsidRDefault="00485E54" w:rsidP="00485E54">
      <w:pPr>
        <w:widowControl w:val="0"/>
        <w:tabs>
          <w:tab w:val="left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 Настоящий Регламент определяет порядок формирования, содержания и применения парка резервных источников снабжения электрической энергией (далее - РИСЭ), как передвижных, так и стационарных, для организации временного электроснабжения потребителей на территории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85E54" w:rsidRPr="00485E54" w:rsidRDefault="00485E54" w:rsidP="00485E54">
      <w:pPr>
        <w:widowControl w:val="0"/>
        <w:tabs>
          <w:tab w:val="left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Исполнение требований настоящего Регламента является обязательным для специалистов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государственных бюджетных учреждений и организаций, ресурсоснабжающих организаций всех форм собственности, а также персонала дежурно-диспетчерских служб ТЭК и ЖКХ, находящихся на территории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85E54" w:rsidRPr="00485E54" w:rsidRDefault="00485E54" w:rsidP="00485E54">
      <w:pPr>
        <w:widowControl w:val="0"/>
        <w:tabs>
          <w:tab w:val="left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1.3.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Настоящий Регламент разработан в целях организации устранения аварий на объектах электросетевого комплекса на основании Федерального закона РФ от 06.10.2003г. № 131-ФЗ «Об общих принципах организации местного самоуправления в Российской Федерации»,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Постановления Правительства Ленинградской области от 19.06.2008 г. № 177 «Об утверждении Правил подготовки и</w:t>
      </w:r>
      <w:proofErr w:type="gramEnd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проведения отопительного сезона в Ленинградской области», в соответствии с требованиями 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9.</w:t>
      </w:r>
    </w:p>
    <w:p w:rsidR="00485E54" w:rsidRPr="00485E54" w:rsidRDefault="00485E54" w:rsidP="00485E54">
      <w:pPr>
        <w:widowControl w:val="0"/>
        <w:tabs>
          <w:tab w:val="left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1.4. 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аварии, а также глава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85E54" w:rsidRPr="00485E54" w:rsidRDefault="00485E54" w:rsidP="00485E54">
      <w:pPr>
        <w:widowControl w:val="0"/>
        <w:tabs>
          <w:tab w:val="left" w:pos="1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1.5. Для организации работ по ликвидации крупных аварий и чрезвычайных ситуаций техногенного характера, затрагивающих интересы многих жителей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при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создается штаб руководства ходом выполнения работ по ликвидации аварийных ситуаций. Принятие решений по организации работ по ликвидации аварийных и чрезвычайных ситуаций при этом возлагается на данный штаб или постоянно действующую комиссию по предупреждению и ликвидации чрезвычайных ситуаций и обеспечению пожарной безопасности (далее - КЧС и ПБ).</w:t>
      </w:r>
    </w:p>
    <w:p w:rsidR="00485E54" w:rsidRPr="00485E54" w:rsidRDefault="00485E54" w:rsidP="00485E54">
      <w:pPr>
        <w:widowControl w:val="0"/>
        <w:tabs>
          <w:tab w:val="left" w:pos="1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1.6.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После получения информации об аварии, снижении качества предоставляемых услуг населению, в том числе имеющих социально-значимые последствия, связанные с возможной остановкой объектов жизнеобеспечения, первый заместитель главы администрации по ЖКХ, транспорту, связи и благоустройству обязан немедленно сообщить об аварии главе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, а также дежурному диспетчеру сетевой организации (предприятия), руководителю организации или ответственному лицу, назначенному приказом, при аварийной ситуации</w:t>
      </w:r>
      <w:proofErr w:type="gramEnd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объектах ресурсоснабжающих организаций, организаций жилищно-коммунального хозяйства и системах жизнеобеспечения, затрагивающих интересы жителей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в Единую дежурно-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диспетчерскую службу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Ломоносовский муниципальный район 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Ленинградской области.</w:t>
      </w:r>
    </w:p>
    <w:p w:rsidR="00485E54" w:rsidRPr="00485E54" w:rsidRDefault="00485E54" w:rsidP="00485E54">
      <w:pPr>
        <w:widowControl w:val="0"/>
        <w:tabs>
          <w:tab w:val="left" w:pos="1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1.7. Для обеспечения резервного электроснабжения социально-значимых объектов и объектов жизнеобеспечения, имеющихся на территории населенных пунктов 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,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:rsidR="00485E54" w:rsidRPr="00485E54" w:rsidRDefault="00485E54" w:rsidP="00485E54">
      <w:pPr>
        <w:widowControl w:val="0"/>
        <w:tabs>
          <w:tab w:val="left" w:pos="1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1.8.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Ответственность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проводимую работу по обеспеченности РИСЭ социально-значимых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</w:t>
      </w:r>
      <w:proofErr w:type="gramEnd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резервного электроснабжения социально-значимых объектов и объектов жизнеобеспечения, не располагающих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собственными</w:t>
      </w:r>
      <w:proofErr w:type="gramEnd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РИСЭ.</w:t>
      </w:r>
    </w:p>
    <w:p w:rsidR="00485E54" w:rsidRPr="00485E54" w:rsidRDefault="00485E54" w:rsidP="00485E54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1.9.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Собственниками</w:t>
      </w:r>
      <w:r w:rsidR="00DE0BAD" w:rsidRPr="00DE0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0BAD"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социально-значимых объектов и объектов жизнеобеспечения</w:t>
      </w:r>
      <w:r w:rsidR="00DE0BAD">
        <w:rPr>
          <w:rFonts w:ascii="Times New Roman" w:eastAsia="Times New Roman" w:hAnsi="Times New Roman" w:cs="Times New Roman"/>
          <w:sz w:val="24"/>
          <w:szCs w:val="24"/>
          <w:lang w:eastAsia="en-US"/>
        </w:rPr>
        <w:t>, а также организациями, за которыми социально-значимые объекты и объекты жизнеобеспечения закреплены на праве оперативного управления или хозяйственного ведения,</w:t>
      </w:r>
      <w:bookmarkStart w:id="2" w:name="_GoBack"/>
      <w:bookmarkEnd w:id="2"/>
      <w:r w:rsidR="00DE0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должны быть приняты все возможные меры по организации резервного электроснабжения подведомственных объектов, в том числе на договорных или подрядных условиях при отсутствии собственных РИСЭ.</w:t>
      </w:r>
      <w:proofErr w:type="gramEnd"/>
    </w:p>
    <w:p w:rsidR="00485E54" w:rsidRPr="00485E54" w:rsidRDefault="00485E54" w:rsidP="00485E54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1.10. Установленный порядок организации резервного электроснабжения социально-значимых объектов и объектов жизнеобеспечения 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485E54" w:rsidRPr="00485E54" w:rsidRDefault="00485E54" w:rsidP="00485E54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1.11. Базовый перечень социально-значимых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485E54" w:rsidRPr="00485E54" w:rsidRDefault="00485E54" w:rsidP="00485E54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E54" w:rsidRPr="00485E54" w:rsidRDefault="00485E54" w:rsidP="00485E54">
      <w:pPr>
        <w:keepNext/>
        <w:keepLines/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bookmarkStart w:id="3" w:name="bookmark2"/>
      <w:r w:rsidRPr="00485E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2. Порядок формирования, содержания и учета парка РИСЭ</w:t>
      </w:r>
      <w:bookmarkEnd w:id="3"/>
    </w:p>
    <w:p w:rsidR="00485E54" w:rsidRPr="00485E54" w:rsidRDefault="00485E54" w:rsidP="00485E54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2.1. Количественный и качественный состав 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 (далее - Региональный штаб).</w:t>
      </w:r>
    </w:p>
    <w:p w:rsidR="00485E54" w:rsidRPr="00485E54" w:rsidRDefault="00485E54" w:rsidP="00485E54">
      <w:pPr>
        <w:widowControl w:val="0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Администрация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направляет в Региональный штаб предложение о выделении субсидий на приобретение РИСЭ на следующий календарный год и представляет на утверждение сводный перечень социально-значимых потребителей и объектов жизнеобеспечения с указанием порядка и приоритета их резервного электроснабжения.</w:t>
      </w:r>
    </w:p>
    <w:p w:rsidR="00485E54" w:rsidRPr="00485E54" w:rsidRDefault="00485E54" w:rsidP="00485E54">
      <w:pPr>
        <w:widowControl w:val="0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2.3. Расходы по приобретению, хранению, эксплуатации и ремонту РИСЭ несут собственники РИСЭ, которые обязаны 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 Вопросы финансирования затрат по организации применения РИСЭ должны быть включены в бюджет организации, имеющей на балансе РИСЭ.</w:t>
      </w:r>
    </w:p>
    <w:p w:rsidR="00485E54" w:rsidRPr="00485E54" w:rsidRDefault="00485E54" w:rsidP="00485E54">
      <w:pPr>
        <w:widowControl w:val="0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2.4. Собственник РИСЭ обязан содержать в штатном расписании организации обученный и аттестованный персонал на право работы с РИСЭ. 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 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собственником РИСЭ соответствующим распорядительным документом.</w:t>
      </w:r>
    </w:p>
    <w:p w:rsidR="00485E54" w:rsidRPr="00485E54" w:rsidRDefault="00485E54" w:rsidP="00485E54">
      <w:pPr>
        <w:widowControl w:val="0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2.5. РИСЭ должны содержаться в постоянной готовности к применению, обеспечена их комплектность, а также наличие необходимых материалов и оборудования для подключения (силовые кабели, клеммы, зажимы и т.д.). </w:t>
      </w:r>
    </w:p>
    <w:p w:rsidR="00485E54" w:rsidRPr="00485E54" w:rsidRDefault="00485E54" w:rsidP="00485E54">
      <w:pPr>
        <w:widowControl w:val="0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485E54" w:rsidRPr="00485E54" w:rsidRDefault="00485E54" w:rsidP="00485E54">
      <w:pPr>
        <w:widowControl w:val="0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2.6. Собственник РИСЭ обязан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 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485E54" w:rsidRPr="00485E54" w:rsidRDefault="00485E54" w:rsidP="00485E54">
      <w:pPr>
        <w:widowControl w:val="0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2.7. Администрация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ведет учет РИСЭ всех форм собственности и ведомственной принадлежности, находящихся на территории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РИСЭ.</w:t>
      </w:r>
    </w:p>
    <w:p w:rsidR="00485E54" w:rsidRPr="00485E54" w:rsidRDefault="00485E54" w:rsidP="00485E54">
      <w:pPr>
        <w:widowControl w:val="0"/>
        <w:tabs>
          <w:tab w:val="left" w:pos="1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2.8. 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485E54" w:rsidRPr="00485E54" w:rsidRDefault="00485E54" w:rsidP="00485E54">
      <w:pPr>
        <w:widowControl w:val="0"/>
        <w:tabs>
          <w:tab w:val="left" w:pos="1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E54" w:rsidRPr="00485E54" w:rsidRDefault="00485E54" w:rsidP="00485E54">
      <w:pPr>
        <w:keepNext/>
        <w:keepLines/>
        <w:widowControl w:val="0"/>
        <w:tabs>
          <w:tab w:val="left" w:pos="14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bookmarkStart w:id="4" w:name="bookmark3"/>
      <w:r w:rsidRPr="00485E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3. Определение порядка применения РИСЭ</w:t>
      </w:r>
      <w:bookmarkEnd w:id="4"/>
    </w:p>
    <w:p w:rsidR="00485E54" w:rsidRPr="00485E54" w:rsidRDefault="00485E54" w:rsidP="00485E54">
      <w:pPr>
        <w:widowControl w:val="0"/>
        <w:tabs>
          <w:tab w:val="left" w:pos="1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3.1. 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485E54" w:rsidRPr="00485E54" w:rsidRDefault="00485E54" w:rsidP="00485E54">
      <w:pPr>
        <w:widowControl w:val="0"/>
        <w:tabs>
          <w:tab w:val="left" w:pos="1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3.2.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созыва штаба по обеспечению безопасности электроснабжения, приоритетные направления использования РИСЭ определяются Региональным штабом, в соответствии с ранее принятым перечнем распределения РИСЭ, с учетом опасности возникшего нарушения электроснабжения, прогноза развития аварийной ситуации, расположения мест хранения РИСЭ на территории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, а также фактической гидрометеорологической обстановки и иных местных условий.</w:t>
      </w:r>
      <w:proofErr w:type="gramEnd"/>
    </w:p>
    <w:p w:rsidR="00485E54" w:rsidRPr="00485E54" w:rsidRDefault="00485E54" w:rsidP="00485E54">
      <w:pPr>
        <w:widowControl w:val="0"/>
        <w:tabs>
          <w:tab w:val="left" w:pos="1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3.3. При прочих равных условиях, приоритетным является организация временного электроснабжения потребителей собственными 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потребителей, не являющихся абонентами данных организаций должно быть обосновано</w:t>
      </w:r>
      <w:proofErr w:type="gramEnd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осуществляется только при наличии технической возможности.</w:t>
      </w:r>
    </w:p>
    <w:p w:rsidR="00485E54" w:rsidRPr="00485E54" w:rsidRDefault="00485E54" w:rsidP="00485E54">
      <w:pPr>
        <w:widowControl w:val="0"/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3.4. 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 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485E54" w:rsidRPr="00485E54" w:rsidRDefault="00485E54" w:rsidP="00485E54">
      <w:pPr>
        <w:widowControl w:val="0"/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3.5.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координирует 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деятельность, связанную с организацией применения РИСЭ, а также принимает необходимые меры для обеспечения возможности применения РИСЭ на территории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 с оказанием необходимого содействия собственникам РИСЭ. </w:t>
      </w:r>
      <w:proofErr w:type="gramEnd"/>
    </w:p>
    <w:p w:rsidR="00485E54" w:rsidRPr="00485E54" w:rsidRDefault="00485E54" w:rsidP="00485E54">
      <w:pPr>
        <w:widowControl w:val="0"/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предоставляет необходимую помощь исходя из сложившейся обстановки.</w:t>
      </w:r>
    </w:p>
    <w:p w:rsidR="00485E54" w:rsidRPr="00485E54" w:rsidRDefault="00485E54" w:rsidP="00485E54">
      <w:pPr>
        <w:widowControl w:val="0"/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3.6.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случаях воздействия неблагоприятных явлений, приведших к возникновению массовых отключений электроснабжения, глава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обязан принять необходимые меры по задействованию всех имеющихся на балансе РИСЭ на территории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резервного электроснабжения социально-значимых объектов и объектов жизнеобеспечения в соответствии с утвержденными схемой расстановки имеющихся в распоряжении РИСЭ и графиком подключения потребителей, согласованными с</w:t>
      </w:r>
      <w:proofErr w:type="gramEnd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сетевой организацией.</w:t>
      </w:r>
    </w:p>
    <w:p w:rsidR="00485E54" w:rsidRPr="00485E54" w:rsidRDefault="00485E54" w:rsidP="00485E54">
      <w:pPr>
        <w:widowControl w:val="0"/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3.7. 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485E54" w:rsidRPr="00485E54" w:rsidRDefault="00485E54" w:rsidP="00485E54">
      <w:pPr>
        <w:keepNext/>
        <w:keepLines/>
        <w:widowControl w:val="0"/>
        <w:tabs>
          <w:tab w:val="left" w:pos="139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5" w:name="bookmark4"/>
    </w:p>
    <w:p w:rsidR="00485E54" w:rsidRPr="00485E54" w:rsidRDefault="00485E54" w:rsidP="00485E54">
      <w:pPr>
        <w:keepNext/>
        <w:keepLines/>
        <w:widowControl w:val="0"/>
        <w:tabs>
          <w:tab w:val="left" w:pos="13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4. Порядок подключения и обеспечения функционирования РИСЭ</w:t>
      </w:r>
      <w:bookmarkEnd w:id="5"/>
    </w:p>
    <w:p w:rsidR="00485E54" w:rsidRPr="00485E54" w:rsidRDefault="00485E54" w:rsidP="00485E54">
      <w:pPr>
        <w:widowControl w:val="0"/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4.1. Доставку, подключение РИСЭ и обеспечение его функционирования для организации временного электроснабжения социально-значимых объектов и бытовых потребителей - абонентов 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485E54" w:rsidRPr="00485E54" w:rsidRDefault="00485E54" w:rsidP="00485E54">
      <w:pPr>
        <w:widowControl w:val="0"/>
        <w:tabs>
          <w:tab w:val="left" w:pos="1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4.2. Доставку РИСЭ и обеспечение его функционирования для организации временного электроснабжения потребителей - абонентов данной организации, не являющихся бытовыми потребителями (в </w:t>
      </w:r>
      <w:proofErr w:type="spell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т.ч</w:t>
      </w:r>
      <w:proofErr w:type="spellEnd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промышленные потребители, социально-значимые объекты) осуществляет персонал, владеющей электроустановкой, к которой подключается РИСЭ.</w:t>
      </w:r>
    </w:p>
    <w:p w:rsidR="00485E54" w:rsidRPr="00485E54" w:rsidRDefault="00485E54" w:rsidP="00485E54">
      <w:pPr>
        <w:widowControl w:val="0"/>
        <w:tabs>
          <w:tab w:val="left" w:pos="1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4.3. Порядок организации временного электроснабжения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потребителей, не являющихся абонентами данной организации определяется</w:t>
      </w:r>
      <w:proofErr w:type="gramEnd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принадлежащих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, порядок организации временного электроснабжения определяется по решению, согласованному с потребителем электрической энергии.</w:t>
      </w:r>
    </w:p>
    <w:p w:rsidR="00485E54" w:rsidRPr="00485E54" w:rsidRDefault="00485E54" w:rsidP="00485E54">
      <w:pPr>
        <w:widowControl w:val="0"/>
        <w:tabs>
          <w:tab w:val="left" w:pos="1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4.4. Все необходимые для подключения РИСЭ оперативные переключения имеет право проводить оперативный персонал, знающий схему электроустановки, прошедший необходимое обучение и допущенный к оперативным переключениям в данной электроустановке.</w:t>
      </w:r>
    </w:p>
    <w:p w:rsidR="00485E54" w:rsidRPr="00485E54" w:rsidRDefault="00485E54" w:rsidP="00485E54">
      <w:pPr>
        <w:widowControl w:val="0"/>
        <w:tabs>
          <w:tab w:val="left" w:pos="1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4.5.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целью минимизации времени на организацию временного электроснабжения потребителей, в соответствии с ранее принятым перечнем распределения РИСЭ, администрация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разрабатывает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  <w:proofErr w:type="gramEnd"/>
    </w:p>
    <w:p w:rsidR="00485E54" w:rsidRPr="00485E54" w:rsidRDefault="00485E54" w:rsidP="0048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порядок взаимодействия персонала собственника РИСЭ с персоналом потребителя при подключении/отключении РИСЭ;</w:t>
      </w:r>
    </w:p>
    <w:p w:rsidR="00485E54" w:rsidRPr="00485E54" w:rsidRDefault="00485E54" w:rsidP="0048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последовательность выполнения оперативных переключений;</w:t>
      </w:r>
    </w:p>
    <w:p w:rsidR="00485E54" w:rsidRPr="00485E54" w:rsidRDefault="00485E54" w:rsidP="0048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- технические характеристики электроустановки (электроустановок) потребителя;</w:t>
      </w:r>
    </w:p>
    <w:p w:rsidR="00485E54" w:rsidRPr="00485E54" w:rsidRDefault="00485E54" w:rsidP="0048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- схемы электроустановки (электроустановок) потребителя с указанием мест подключения РИСЭ.</w:t>
      </w:r>
    </w:p>
    <w:p w:rsidR="00485E54" w:rsidRPr="00485E54" w:rsidRDefault="00485E54" w:rsidP="0048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Регламенты (карты действий) разрабатываются и утверждаются организацией - собственником РИСЭ совместно с потребителем.</w:t>
      </w:r>
    </w:p>
    <w:p w:rsidR="00485E54" w:rsidRPr="00485E54" w:rsidRDefault="00485E54" w:rsidP="00485E5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4.6. 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</w:t>
      </w:r>
    </w:p>
    <w:p w:rsidR="00485E54" w:rsidRPr="00485E54" w:rsidRDefault="00485E54" w:rsidP="00485E5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485E54" w:rsidRPr="00485E54" w:rsidRDefault="00485E54" w:rsidP="00485E5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4.7. Порядок производства оперативных переключений определятся соответствующей нормативно-технической документацией, действующей для персонала организации —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485E54" w:rsidRPr="00485E54" w:rsidRDefault="00485E54" w:rsidP="00485E5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4.8. Порядок оплаты электроэнергии при организации временного электроснабжения РИСЭ определяется в соответствии с действующим законодательством РФ.</w:t>
      </w:r>
    </w:p>
    <w:p w:rsidR="00485E54" w:rsidRPr="00485E54" w:rsidRDefault="00485E54" w:rsidP="00485E54">
      <w:pPr>
        <w:keepNext/>
        <w:keepLines/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  <w:bookmarkStart w:id="6" w:name="bookmark5"/>
    </w:p>
    <w:p w:rsidR="00485E54" w:rsidRPr="00485E54" w:rsidRDefault="00485E54" w:rsidP="00485E54">
      <w:pPr>
        <w:keepNext/>
        <w:keepLines/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5. Продолжительность работы РИСЭ</w:t>
      </w:r>
      <w:bookmarkEnd w:id="6"/>
    </w:p>
    <w:p w:rsidR="00485E54" w:rsidRPr="00485E54" w:rsidRDefault="00485E54" w:rsidP="00485E54">
      <w:pPr>
        <w:widowControl w:val="0"/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5.1. О принятом решении на применение РИСЭ, а также информацию о времени подключения потребителей посредством РИСЭ собственники объектов через главу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доводят до сведения сетевой организации, к электрическим сетям которой подключены потребители.</w:t>
      </w:r>
    </w:p>
    <w:p w:rsidR="00485E54" w:rsidRPr="00485E54" w:rsidRDefault="00485E54" w:rsidP="00485E54">
      <w:pPr>
        <w:widowControl w:val="0"/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5.2. 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 с учётом рекомендаций завода-изготовителя РИСЭ.</w:t>
      </w:r>
    </w:p>
    <w:p w:rsidR="00485E54" w:rsidRPr="00485E54" w:rsidRDefault="00485E54" w:rsidP="00485E54">
      <w:pPr>
        <w:widowControl w:val="0"/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5.3. </w:t>
      </w:r>
      <w:proofErr w:type="gram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После завершения устранения технологического нарушения на </w:t>
      </w:r>
      <w:proofErr w:type="spellStart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энергообъекте</w:t>
      </w:r>
      <w:proofErr w:type="spellEnd"/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восстановления постоянного электроснабжения потребителей по нормальной (временной) схеме, по решению, принятому главой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ходом выполнения работ по ликвидации аварийных ситуаций, согласованному с сетевой организацией, РИСЭ может быть перенаправлен для запитывания других 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  <w:proofErr w:type="gramEnd"/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5.4. Единая дежурно-диспетчерская служба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Ломоносовский муниципальный район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Ленинградской области по запросу сетевой организации обязаны предоставлять всю имеющуюся информацию, касающуюся запитывания посредством РИСЭ социально-значимых потребителей, объектов жизнеобеспечения, проживающего населения и других потребителей на территории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Низинское сельское поселение</w:t>
      </w:r>
      <w:r w:rsidRPr="00485E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85E54" w:rsidRPr="00485E54" w:rsidRDefault="00485E54" w:rsidP="00485E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85E54" w:rsidRPr="00485E54" w:rsidRDefault="00485E54" w:rsidP="00485E54">
      <w:pPr>
        <w:widowControl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5E5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485E54" w:rsidRPr="00485E54" w:rsidRDefault="00485E54" w:rsidP="00171AE1">
      <w:pPr>
        <w:widowControl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5E5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171AE1">
        <w:rPr>
          <w:rFonts w:ascii="Times New Roman" w:eastAsia="Calibri" w:hAnsi="Times New Roman" w:cs="Times New Roman"/>
          <w:sz w:val="20"/>
          <w:szCs w:val="20"/>
          <w:lang w:eastAsia="en-US"/>
        </w:rPr>
        <w:t>Регламенту</w:t>
      </w:r>
    </w:p>
    <w:p w:rsidR="00485E54" w:rsidRPr="00485E54" w:rsidRDefault="00485E54" w:rsidP="00485E54">
      <w:pPr>
        <w:widowControl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85E54" w:rsidRPr="00485E54" w:rsidRDefault="00485E54" w:rsidP="00485E54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  <w:bookmarkStart w:id="7" w:name="bookmark6"/>
      <w:r w:rsidRPr="00485E54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Сводный перечень</w:t>
      </w:r>
    </w:p>
    <w:bookmarkEnd w:id="7"/>
    <w:p w:rsidR="00485E54" w:rsidRPr="00485E54" w:rsidRDefault="00485E54" w:rsidP="00485E54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  <w:r w:rsidRPr="00485E54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резервных источников снабжения электрической энергией</w:t>
      </w:r>
    </w:p>
    <w:p w:rsidR="00485E54" w:rsidRPr="00485E54" w:rsidRDefault="00485E54" w:rsidP="00485E54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173"/>
        <w:gridCol w:w="1701"/>
        <w:gridCol w:w="1276"/>
        <w:gridCol w:w="1701"/>
        <w:gridCol w:w="2232"/>
      </w:tblGrid>
      <w:tr w:rsidR="00485E54" w:rsidRPr="00485E54" w:rsidTr="00186293">
        <w:tc>
          <w:tcPr>
            <w:tcW w:w="487" w:type="dxa"/>
          </w:tcPr>
          <w:p w:rsidR="00485E54" w:rsidRPr="00485E54" w:rsidRDefault="00485E54" w:rsidP="00485E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485E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85E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485E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73" w:type="dxa"/>
          </w:tcPr>
          <w:p w:rsidR="00485E54" w:rsidRPr="00485E54" w:rsidRDefault="00485E54" w:rsidP="00485E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485E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Место хранения</w:t>
            </w:r>
          </w:p>
        </w:tc>
        <w:tc>
          <w:tcPr>
            <w:tcW w:w="1701" w:type="dxa"/>
          </w:tcPr>
          <w:p w:rsidR="00485E54" w:rsidRPr="00485E54" w:rsidRDefault="00485E54" w:rsidP="00485E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485E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Модель (марка) РИСЭ</w:t>
            </w:r>
          </w:p>
        </w:tc>
        <w:tc>
          <w:tcPr>
            <w:tcW w:w="1276" w:type="dxa"/>
          </w:tcPr>
          <w:p w:rsidR="00485E54" w:rsidRPr="00485E54" w:rsidRDefault="00485E54" w:rsidP="00485E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485E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Мощность РИСЭ, кВт</w:t>
            </w:r>
          </w:p>
        </w:tc>
        <w:tc>
          <w:tcPr>
            <w:tcW w:w="1701" w:type="dxa"/>
          </w:tcPr>
          <w:p w:rsidR="00485E54" w:rsidRPr="00485E54" w:rsidRDefault="00485E54" w:rsidP="00485E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485E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Собственник (контактные данные)</w:t>
            </w:r>
          </w:p>
        </w:tc>
        <w:tc>
          <w:tcPr>
            <w:tcW w:w="2232" w:type="dxa"/>
          </w:tcPr>
          <w:p w:rsidR="00485E54" w:rsidRPr="00485E54" w:rsidRDefault="00485E54" w:rsidP="00485E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485E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Лицо, ответственное за эксплуатацию РИСЭ (контактные данные)</w:t>
            </w:r>
          </w:p>
        </w:tc>
      </w:tr>
      <w:tr w:rsidR="00485E54" w:rsidRPr="00485E54" w:rsidTr="00186293">
        <w:trPr>
          <w:trHeight w:val="953"/>
        </w:trPr>
        <w:tc>
          <w:tcPr>
            <w:tcW w:w="487" w:type="dxa"/>
          </w:tcPr>
          <w:p w:rsidR="00485E54" w:rsidRPr="00485E54" w:rsidRDefault="00485E54" w:rsidP="00485E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5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73" w:type="dxa"/>
          </w:tcPr>
          <w:p w:rsidR="00485E54" w:rsidRPr="00485E54" w:rsidRDefault="00FD1215" w:rsidP="00485E54">
            <w:pPr>
              <w:widowControl w:val="0"/>
              <w:tabs>
                <w:tab w:val="left" w:pos="18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Ленинградская область, Ломоносовский район, пос. Жилгородок, Санинское шоссе</w:t>
            </w:r>
          </w:p>
        </w:tc>
        <w:tc>
          <w:tcPr>
            <w:tcW w:w="1701" w:type="dxa"/>
          </w:tcPr>
          <w:p w:rsidR="00485E54" w:rsidRPr="00485E54" w:rsidRDefault="00485E54" w:rsidP="00DA4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Дизель-генератор </w:t>
            </w:r>
            <w:r w:rsidR="00DA4B1E" w:rsidRPr="00DA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АД400-Т400</w:t>
            </w:r>
          </w:p>
        </w:tc>
        <w:tc>
          <w:tcPr>
            <w:tcW w:w="1276" w:type="dxa"/>
          </w:tcPr>
          <w:p w:rsidR="00485E54" w:rsidRPr="00485E54" w:rsidRDefault="00DA4B1E" w:rsidP="00485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4</w:t>
            </w:r>
            <w:r w:rsidR="00485E54" w:rsidRPr="0048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701" w:type="dxa"/>
          </w:tcPr>
          <w:p w:rsidR="00485E54" w:rsidRPr="00485E54" w:rsidRDefault="00485E54" w:rsidP="00485E54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5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Низинское сельское поселение</w:t>
            </w:r>
          </w:p>
        </w:tc>
        <w:tc>
          <w:tcPr>
            <w:tcW w:w="2232" w:type="dxa"/>
          </w:tcPr>
          <w:p w:rsidR="00485E54" w:rsidRDefault="00FD1215" w:rsidP="00485E54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за электрохозяйство МО Низинское СП, </w:t>
            </w:r>
          </w:p>
          <w:p w:rsidR="00FD1215" w:rsidRDefault="00FD1215" w:rsidP="00485E54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8 813 76 55 242</w:t>
            </w:r>
          </w:p>
          <w:p w:rsidR="00FD1215" w:rsidRPr="00485E54" w:rsidRDefault="00FD1215" w:rsidP="00485E54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485E54" w:rsidRPr="00485E54" w:rsidRDefault="00485E54" w:rsidP="00485E54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D5B" w:rsidRPr="001721ED" w:rsidRDefault="00394D5B" w:rsidP="0017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D5B" w:rsidRPr="001721ED" w:rsidSect="00610DD3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C8" w:rsidRDefault="003377C8" w:rsidP="009003F2">
      <w:pPr>
        <w:spacing w:after="0" w:line="240" w:lineRule="auto"/>
      </w:pPr>
      <w:r>
        <w:separator/>
      </w:r>
    </w:p>
  </w:endnote>
  <w:endnote w:type="continuationSeparator" w:id="0">
    <w:p w:rsidR="003377C8" w:rsidRDefault="003377C8" w:rsidP="009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856027"/>
      <w:docPartObj>
        <w:docPartGallery w:val="Page Numbers (Bottom of Page)"/>
        <w:docPartUnique/>
      </w:docPartObj>
    </w:sdtPr>
    <w:sdtEndPr/>
    <w:sdtContent>
      <w:p w:rsidR="009003F2" w:rsidRDefault="009003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AD">
          <w:rPr>
            <w:noProof/>
          </w:rPr>
          <w:t>4</w:t>
        </w:r>
        <w:r>
          <w:fldChar w:fldCharType="end"/>
        </w:r>
      </w:p>
    </w:sdtContent>
  </w:sdt>
  <w:p w:rsidR="009003F2" w:rsidRDefault="00900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C8" w:rsidRDefault="003377C8" w:rsidP="009003F2">
      <w:pPr>
        <w:spacing w:after="0" w:line="240" w:lineRule="auto"/>
      </w:pPr>
      <w:r>
        <w:separator/>
      </w:r>
    </w:p>
  </w:footnote>
  <w:footnote w:type="continuationSeparator" w:id="0">
    <w:p w:rsidR="003377C8" w:rsidRDefault="003377C8" w:rsidP="0090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7E6F"/>
    <w:multiLevelType w:val="hybridMultilevel"/>
    <w:tmpl w:val="91D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3292"/>
    <w:multiLevelType w:val="hybridMultilevel"/>
    <w:tmpl w:val="9C84E3E0"/>
    <w:lvl w:ilvl="0" w:tplc="1DA251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54AA"/>
    <w:multiLevelType w:val="hybridMultilevel"/>
    <w:tmpl w:val="660C675C"/>
    <w:lvl w:ilvl="0" w:tplc="1DA2517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ED"/>
    <w:rsid w:val="00171AE1"/>
    <w:rsid w:val="001721ED"/>
    <w:rsid w:val="001A7FCC"/>
    <w:rsid w:val="002F783A"/>
    <w:rsid w:val="003377C8"/>
    <w:rsid w:val="00394D5B"/>
    <w:rsid w:val="00485E54"/>
    <w:rsid w:val="005178A9"/>
    <w:rsid w:val="0059402D"/>
    <w:rsid w:val="005D1F80"/>
    <w:rsid w:val="00610DD3"/>
    <w:rsid w:val="007A0DF9"/>
    <w:rsid w:val="00841A9C"/>
    <w:rsid w:val="009003F2"/>
    <w:rsid w:val="00BD0937"/>
    <w:rsid w:val="00C53649"/>
    <w:rsid w:val="00DA4B1E"/>
    <w:rsid w:val="00DE0BAD"/>
    <w:rsid w:val="00F9076A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3F2"/>
  </w:style>
  <w:style w:type="paragraph" w:styleId="a8">
    <w:name w:val="footer"/>
    <w:basedOn w:val="a"/>
    <w:link w:val="a9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3F2"/>
  </w:style>
  <w:style w:type="paragraph" w:styleId="a8">
    <w:name w:val="footer"/>
    <w:basedOn w:val="a"/>
    <w:link w:val="a9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cp:lastPrinted>2019-12-02T07:11:00Z</cp:lastPrinted>
  <dcterms:created xsi:type="dcterms:W3CDTF">2019-11-29T09:16:00Z</dcterms:created>
  <dcterms:modified xsi:type="dcterms:W3CDTF">2019-12-02T07:13:00Z</dcterms:modified>
</cp:coreProperties>
</file>